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t xml:space="preserve">&lt;p&gt;&lt;span style="font-size: 8.5pt; font-family: 'Verdana',sans-serif; color: black;"&gt;Neni 19, Paragrafi 3&lt;/span&gt;&lt;/p&gt;
&lt;p&gt;Në kuptim të zbatimit të dispozitave të Ligjit Nr. 06/L-011 për parandalimin e konflikit të interesit në ushtrimin e funksionit publik, si ligj special për konflikt interesi, APK rekomandon te Neni 19 një paragraf shtesë ku theksohet se: “KGJK dhe KPK në kuader të zbatimit të detyrimeve të përcaktuara me këtë nen dhe dispozitave të këtij ligji, miratojnë rregulla veçanta për parandalimin e konfliktit të interesit.  &lt;/p&gt;
&lt;p&gt;Sqarim: Kjo me qëllim të zbatimit të Nenit 20, paragrafi 3 të ligjit për konfliktin e interesit, i cili obligon institucionet në kuadër të akteve të tyre të brendshme, parashohin dhe zbatojnë rregulla të veçanta për parandalimin e konfliktit të interesit, varësisht fushëveprimit të institucionit përkatës.&lt;/p&gt;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2026-04-28T15:31:01+02:00</dcterms:created>
  <dcterms:modified xsi:type="dcterms:W3CDTF">2026-04-28T15:31:01+02:00</dcterms:modified>
  <dc:title/>
  <dc:description/>
  <dc:subject/>
  <cp:keywords/>
  <cp:category/>
</cp:coreProperties>
</file>